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732CBD1F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6A6D7C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3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6A6D7C">
        <w:rPr>
          <w:rFonts w:ascii="ＭＳ ゴシック" w:eastAsia="ＭＳ ゴシック" w:hAnsi="ＭＳ ゴシック"/>
          <w:b/>
          <w:bCs/>
          <w:color w:val="000000"/>
          <w:lang w:eastAsia="ja-JP"/>
        </w:rPr>
        <w:t>0</w:t>
      </w:r>
      <w:r w:rsidR="003C0420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9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3C0420">
        <w:rPr>
          <w:rFonts w:ascii="ＭＳ ゴシック" w:eastAsia="ＭＳ ゴシック" w:hAnsi="ＭＳ ゴシック"/>
          <w:b/>
          <w:bCs/>
          <w:color w:val="000000"/>
          <w:lang w:eastAsia="ja-JP"/>
        </w:rPr>
        <w:t>2</w:t>
      </w:r>
      <w:r w:rsidR="00DC064C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5</w:t>
      </w:r>
    </w:p>
    <w:p w14:paraId="45F114EB" w14:textId="08571AC6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B2CAA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7C431D3F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DC064C">
        <w:rPr>
          <w:rFonts w:ascii="ＭＳ ゴシック" w:eastAsia="ＭＳ ゴシック" w:hAnsi="ＭＳ ゴシック"/>
          <w:b/>
          <w:bCs/>
          <w:color w:val="000000"/>
        </w:rPr>
        <w:t xml:space="preserve">Android Automotive </w:t>
      </w:r>
      <w:r w:rsidR="00FB2CAA">
        <w:rPr>
          <w:rFonts w:ascii="ＭＳ ゴシック" w:eastAsia="ＭＳ ゴシック" w:hAnsi="ＭＳ ゴシック"/>
          <w:b/>
          <w:bCs/>
          <w:color w:val="000000"/>
        </w:rPr>
        <w:t xml:space="preserve"> dem</w:t>
      </w:r>
      <w:r w:rsidR="00080189">
        <w:rPr>
          <w:rFonts w:ascii="ＭＳ ゴシック" w:eastAsia="ＭＳ ゴシック" w:hAnsi="ＭＳ ゴシック"/>
          <w:b/>
          <w:bCs/>
          <w:color w:val="000000"/>
        </w:rPr>
        <w:t>o and A&amp;W products promotions</w:t>
      </w:r>
    </w:p>
    <w:p w14:paraId="5B98B0F6" w14:textId="2C92462F" w:rsidR="00FE7DE4" w:rsidRDefault="007C2A70" w:rsidP="00FE7DE4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080189">
        <w:rPr>
          <w:rFonts w:ascii="ＭＳ ゴシック" w:eastAsia="ＭＳ ゴシック" w:hAnsi="ＭＳ ゴシック"/>
          <w:b/>
          <w:bCs/>
          <w:color w:val="000000"/>
        </w:rPr>
        <w:t xml:space="preserve">To know more situation of </w:t>
      </w:r>
      <w:r w:rsidR="00DC064C">
        <w:rPr>
          <w:rFonts w:ascii="ＭＳ ゴシック" w:eastAsia="ＭＳ ゴシック" w:hAnsi="ＭＳ ゴシック"/>
          <w:b/>
          <w:bCs/>
          <w:color w:val="000000"/>
        </w:rPr>
        <w:t>FCE</w:t>
      </w:r>
    </w:p>
    <w:p w14:paraId="19CECEF2" w14:textId="77777777" w:rsidR="00DC064C" w:rsidRPr="004F0A87" w:rsidRDefault="00DC064C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751918DB" w14:textId="49A80022" w:rsidR="003C0420" w:rsidRPr="00DC064C" w:rsidRDefault="00BD7106" w:rsidP="00DC064C">
      <w:pPr>
        <w:numPr>
          <w:ilvl w:val="0"/>
          <w:numId w:val="7"/>
        </w:numPr>
        <w:rPr>
          <w:rFonts w:ascii="ＭＳ ゴシック" w:eastAsia="ＭＳ ゴシック" w:hAnsi="ＭＳ ゴシック" w:hint="eastAsia"/>
          <w:b/>
          <w:bCs/>
          <w:color w:val="000000"/>
        </w:rPr>
      </w:pP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DC064C">
        <w:rPr>
          <w:rFonts w:ascii="ＭＳ ゴシック" w:eastAsia="ＭＳ ゴシック" w:hAnsi="ＭＳ ゴシック"/>
          <w:b/>
          <w:bCs/>
          <w:color w:val="000000"/>
          <w:lang w:eastAsia="ja-JP"/>
        </w:rPr>
        <w:t>Nakasone-</w:t>
      </w:r>
      <w:proofErr w:type="spellStart"/>
      <w:r w:rsidR="00DC064C">
        <w:rPr>
          <w:rFonts w:ascii="ＭＳ ゴシック" w:eastAsia="ＭＳ ゴシック" w:hAnsi="ＭＳ ゴシック"/>
          <w:b/>
          <w:bCs/>
          <w:color w:val="000000"/>
          <w:lang w:eastAsia="ja-JP"/>
        </w:rPr>
        <w:t>san</w:t>
      </w:r>
      <w:proofErr w:type="spellEnd"/>
      <w:r w:rsidR="00DC064C"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 , Kobayashi-</w:t>
      </w:r>
      <w:proofErr w:type="spellStart"/>
      <w:r w:rsidR="00DC064C">
        <w:rPr>
          <w:rFonts w:ascii="ＭＳ ゴシック" w:eastAsia="ＭＳ ゴシック" w:hAnsi="ＭＳ ゴシック"/>
          <w:b/>
          <w:bCs/>
          <w:color w:val="000000"/>
          <w:lang w:eastAsia="ja-JP"/>
        </w:rPr>
        <w:t>san</w:t>
      </w:r>
      <w:proofErr w:type="spellEnd"/>
      <w:r w:rsidR="00DC064C">
        <w:rPr>
          <w:rFonts w:ascii="ＭＳ ゴシック" w:eastAsia="ＭＳ ゴシック" w:hAnsi="ＭＳ ゴシック"/>
          <w:b/>
          <w:bCs/>
          <w:color w:val="000000"/>
          <w:lang w:eastAsia="ja-JP"/>
        </w:rPr>
        <w:t>, Takeuchi-</w:t>
      </w:r>
      <w:proofErr w:type="spellStart"/>
      <w:r w:rsidR="00DC064C">
        <w:rPr>
          <w:rFonts w:ascii="ＭＳ ゴシック" w:eastAsia="ＭＳ ゴシック" w:hAnsi="ＭＳ ゴシック"/>
          <w:b/>
          <w:bCs/>
          <w:color w:val="000000"/>
          <w:lang w:eastAsia="ja-JP"/>
        </w:rPr>
        <w:t>san</w:t>
      </w:r>
      <w:proofErr w:type="spellEnd"/>
    </w:p>
    <w:p w14:paraId="30FFB765" w14:textId="6303C6B7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A&amp;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proofErr w:type="spellStart"/>
      <w:r w:rsidR="003C0420">
        <w:rPr>
          <w:rFonts w:ascii="ＭＳ ゴシック" w:eastAsia="ＭＳ ゴシック" w:hAnsi="ＭＳ ゴシック"/>
          <w:b/>
          <w:bCs/>
          <w:color w:val="000000"/>
        </w:rPr>
        <w:t>Mingfa,Morishita,Suzuki</w:t>
      </w:r>
      <w:proofErr w:type="spellEnd"/>
    </w:p>
    <w:p w14:paraId="6BBA5050" w14:textId="28EC0CC8" w:rsidR="00593AB5" w:rsidRDefault="003E3CCA" w:rsidP="00593AB5">
      <w:pPr>
        <w:rPr>
          <w:rFonts w:ascii="ＭＳ ゴシック" w:eastAsiaTheme="minorEastAsia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02B32402" w14:textId="77777777" w:rsidR="00593AB5" w:rsidRPr="00593AB5" w:rsidRDefault="00593AB5" w:rsidP="00593AB5">
      <w:pPr>
        <w:rPr>
          <w:rFonts w:ascii="ＭＳ ゴシック" w:eastAsiaTheme="minorEastAsia" w:hAnsi="ＭＳ ゴシック"/>
          <w:b/>
          <w:bCs/>
          <w:color w:val="000000"/>
        </w:rPr>
      </w:pPr>
    </w:p>
    <w:p w14:paraId="7D06B663" w14:textId="77777777" w:rsidR="00E30D97" w:rsidRPr="00E30D97" w:rsidRDefault="00E30D97" w:rsidP="00E30D97">
      <w:pPr>
        <w:pStyle w:val="a3"/>
        <w:rPr>
          <w:rFonts w:eastAsia="Malgun Gothic"/>
          <w:color w:val="000000"/>
          <w:lang w:val="en-GB" w:eastAsia="ko-KR"/>
        </w:rPr>
      </w:pPr>
      <w:r w:rsidRPr="00E30D97">
        <w:rPr>
          <w:rFonts w:eastAsia="Malgun Gothic"/>
          <w:color w:val="000000"/>
          <w:lang w:val="en-GB" w:eastAsia="ko-KR"/>
        </w:rPr>
        <w:t>1. Nakasone-</w:t>
      </w:r>
      <w:proofErr w:type="spellStart"/>
      <w:r w:rsidRPr="00E30D97">
        <w:rPr>
          <w:rFonts w:eastAsia="Malgun Gothic"/>
          <w:color w:val="000000"/>
          <w:lang w:val="en-GB" w:eastAsia="ko-KR"/>
        </w:rPr>
        <w:t>san</w:t>
      </w:r>
      <w:proofErr w:type="spellEnd"/>
      <w:r w:rsidRPr="00E30D97">
        <w:rPr>
          <w:rFonts w:eastAsia="Malgun Gothic"/>
          <w:color w:val="000000"/>
          <w:lang w:val="en-GB" w:eastAsia="ko-KR"/>
        </w:rPr>
        <w:t xml:space="preserve"> very much like A&amp;W cost for PLG.</w:t>
      </w:r>
    </w:p>
    <w:p w14:paraId="058FE3D6" w14:textId="77777777" w:rsidR="00E30D97" w:rsidRPr="00E30D97" w:rsidRDefault="00E30D97" w:rsidP="00E30D97">
      <w:pPr>
        <w:pStyle w:val="a3"/>
        <w:rPr>
          <w:rFonts w:eastAsia="Malgun Gothic"/>
          <w:color w:val="000000"/>
          <w:lang w:val="en-GB" w:eastAsia="ko-KR"/>
        </w:rPr>
      </w:pPr>
      <w:r w:rsidRPr="00E30D97">
        <w:rPr>
          <w:rFonts w:eastAsia="Malgun Gothic"/>
          <w:color w:val="000000"/>
          <w:lang w:val="en-GB" w:eastAsia="ko-KR"/>
        </w:rPr>
        <w:t>2. Next time He wants to see a media switch demonstration with the whole PLG solution.</w:t>
      </w:r>
    </w:p>
    <w:p w14:paraId="7C24438F" w14:textId="77777777" w:rsidR="00E30D97" w:rsidRPr="00E30D97" w:rsidRDefault="00E30D97" w:rsidP="00E30D97">
      <w:pPr>
        <w:pStyle w:val="a3"/>
        <w:rPr>
          <w:rFonts w:eastAsia="Malgun Gothic"/>
          <w:color w:val="000000"/>
          <w:lang w:val="en-GB" w:eastAsia="ko-KR"/>
        </w:rPr>
      </w:pPr>
      <w:r w:rsidRPr="00E30D97">
        <w:rPr>
          <w:rFonts w:eastAsia="Malgun Gothic"/>
          <w:color w:val="000000"/>
          <w:lang w:val="en-GB" w:eastAsia="ko-KR"/>
        </w:rPr>
        <w:t xml:space="preserve">3. basically they should use current asset solutions like </w:t>
      </w:r>
      <w:proofErr w:type="spellStart"/>
      <w:r w:rsidRPr="00E30D97">
        <w:rPr>
          <w:rFonts w:eastAsia="Malgun Gothic"/>
          <w:color w:val="000000"/>
          <w:lang w:val="en-GB" w:eastAsia="ko-KR"/>
        </w:rPr>
        <w:t>Carplay</w:t>
      </w:r>
      <w:proofErr w:type="spellEnd"/>
      <w:r w:rsidRPr="00E30D97">
        <w:rPr>
          <w:rFonts w:eastAsia="Malgun Gothic"/>
          <w:color w:val="000000"/>
          <w:lang w:val="en-GB" w:eastAsia="ko-KR"/>
        </w:rPr>
        <w:t xml:space="preserve"> but if the cost will be decreases, they could consider the solution.</w:t>
      </w:r>
    </w:p>
    <w:p w14:paraId="1640B558" w14:textId="77777777" w:rsidR="00E30D97" w:rsidRPr="00E30D97" w:rsidRDefault="00E30D97" w:rsidP="00E30D97">
      <w:pPr>
        <w:pStyle w:val="a3"/>
        <w:rPr>
          <w:rFonts w:eastAsia="Malgun Gothic"/>
          <w:color w:val="000000"/>
          <w:lang w:val="en-GB" w:eastAsia="ko-KR"/>
        </w:rPr>
      </w:pPr>
      <w:r w:rsidRPr="00E30D97">
        <w:rPr>
          <w:rFonts w:eastAsia="Malgun Gothic"/>
          <w:color w:val="000000"/>
          <w:lang w:val="en-GB" w:eastAsia="ko-KR"/>
        </w:rPr>
        <w:t>A&amp;W PLG proposal is very active for the whole development and support cost.</w:t>
      </w:r>
    </w:p>
    <w:p w14:paraId="4B79B621" w14:textId="77777777" w:rsidR="00E30D97" w:rsidRPr="00E30D97" w:rsidRDefault="00E30D97" w:rsidP="00E30D97">
      <w:pPr>
        <w:pStyle w:val="a3"/>
        <w:rPr>
          <w:rFonts w:eastAsia="Malgun Gothic"/>
          <w:color w:val="000000"/>
          <w:lang w:val="en-GB" w:eastAsia="ko-KR"/>
        </w:rPr>
      </w:pPr>
    </w:p>
    <w:p w14:paraId="174CDC91" w14:textId="77777777" w:rsidR="00E30D97" w:rsidRPr="00E30D97" w:rsidRDefault="00E30D97" w:rsidP="00E30D97">
      <w:pPr>
        <w:pStyle w:val="a3"/>
        <w:rPr>
          <w:rFonts w:eastAsia="Malgun Gothic"/>
          <w:color w:val="000000"/>
          <w:lang w:val="en-GB" w:eastAsia="ko-KR"/>
        </w:rPr>
      </w:pPr>
      <w:r w:rsidRPr="00E30D97">
        <w:rPr>
          <w:rFonts w:eastAsia="Malgun Gothic"/>
          <w:color w:val="000000"/>
          <w:lang w:val="en-GB" w:eastAsia="ko-KR"/>
        </w:rPr>
        <w:t xml:space="preserve">overall, </w:t>
      </w:r>
    </w:p>
    <w:p w14:paraId="469D95C9" w14:textId="7AB67293" w:rsidR="00D40829" w:rsidRPr="006B5729" w:rsidRDefault="00E30D97" w:rsidP="00E30D97">
      <w:pPr>
        <w:pStyle w:val="a3"/>
        <w:rPr>
          <w:rFonts w:eastAsia="Malgun Gothic"/>
          <w:color w:val="000000"/>
          <w:lang w:val="en-GB" w:eastAsia="ko-KR"/>
        </w:rPr>
      </w:pPr>
      <w:r w:rsidRPr="00E30D97">
        <w:rPr>
          <w:rFonts w:eastAsia="Malgun Gothic"/>
          <w:color w:val="000000"/>
          <w:lang w:val="en-GB" w:eastAsia="ko-KR"/>
        </w:rPr>
        <w:t>There is a good impression, we need to keep in touch and also need an advanced demonstration of PLG, next time I expect a more detailed discussion for the adaptation of PLG.</w:t>
      </w:r>
    </w:p>
    <w:sectPr w:rsidR="00D40829" w:rsidRPr="006B572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54BB" w14:textId="77777777" w:rsidR="00E2275B" w:rsidRDefault="00E2275B" w:rsidP="003E3CCA">
      <w:r>
        <w:separator/>
      </w:r>
    </w:p>
  </w:endnote>
  <w:endnote w:type="continuationSeparator" w:id="0">
    <w:p w14:paraId="6E3999D8" w14:textId="77777777" w:rsidR="00E2275B" w:rsidRDefault="00E2275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B8CB" w14:textId="77777777" w:rsidR="00E2275B" w:rsidRDefault="00E2275B" w:rsidP="003E3CCA">
      <w:r>
        <w:separator/>
      </w:r>
    </w:p>
  </w:footnote>
  <w:footnote w:type="continuationSeparator" w:id="0">
    <w:p w14:paraId="003CC369" w14:textId="77777777" w:rsidR="00E2275B" w:rsidRDefault="00E2275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F58E7"/>
    <w:multiLevelType w:val="hybridMultilevel"/>
    <w:tmpl w:val="1F3C826A"/>
    <w:lvl w:ilvl="0" w:tplc="38A6B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6"/>
  </w:num>
  <w:num w:numId="8" w16cid:durableId="468665789">
    <w:abstractNumId w:val="5"/>
  </w:num>
  <w:num w:numId="9" w16cid:durableId="701520044">
    <w:abstractNumId w:val="1"/>
  </w:num>
  <w:num w:numId="10" w16cid:durableId="166612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80189"/>
    <w:rsid w:val="000D7249"/>
    <w:rsid w:val="00137517"/>
    <w:rsid w:val="00175A02"/>
    <w:rsid w:val="00176A0B"/>
    <w:rsid w:val="001B056D"/>
    <w:rsid w:val="001F4C4D"/>
    <w:rsid w:val="00237344"/>
    <w:rsid w:val="00257126"/>
    <w:rsid w:val="00264D84"/>
    <w:rsid w:val="00275ECC"/>
    <w:rsid w:val="002A1A1F"/>
    <w:rsid w:val="002D7DB7"/>
    <w:rsid w:val="00370D46"/>
    <w:rsid w:val="003C0420"/>
    <w:rsid w:val="003E3CCA"/>
    <w:rsid w:val="003E569E"/>
    <w:rsid w:val="0042635C"/>
    <w:rsid w:val="004413E3"/>
    <w:rsid w:val="00472753"/>
    <w:rsid w:val="00475373"/>
    <w:rsid w:val="004A583C"/>
    <w:rsid w:val="004B7C9D"/>
    <w:rsid w:val="004D3176"/>
    <w:rsid w:val="004E28AA"/>
    <w:rsid w:val="004F0A87"/>
    <w:rsid w:val="00520885"/>
    <w:rsid w:val="0052173D"/>
    <w:rsid w:val="0058262E"/>
    <w:rsid w:val="00593AB5"/>
    <w:rsid w:val="00593EAE"/>
    <w:rsid w:val="005F7DCB"/>
    <w:rsid w:val="006266B4"/>
    <w:rsid w:val="0063102F"/>
    <w:rsid w:val="00650A49"/>
    <w:rsid w:val="006605F7"/>
    <w:rsid w:val="00684AE4"/>
    <w:rsid w:val="0069368D"/>
    <w:rsid w:val="006A6D7C"/>
    <w:rsid w:val="006B5729"/>
    <w:rsid w:val="00705E9C"/>
    <w:rsid w:val="00710F6D"/>
    <w:rsid w:val="00786DF5"/>
    <w:rsid w:val="007941B6"/>
    <w:rsid w:val="007A077D"/>
    <w:rsid w:val="007C2A70"/>
    <w:rsid w:val="0085528E"/>
    <w:rsid w:val="008614D9"/>
    <w:rsid w:val="008C01DD"/>
    <w:rsid w:val="008C6939"/>
    <w:rsid w:val="009344DB"/>
    <w:rsid w:val="009806ED"/>
    <w:rsid w:val="00A313C5"/>
    <w:rsid w:val="00A8584D"/>
    <w:rsid w:val="00A928CD"/>
    <w:rsid w:val="00A96A17"/>
    <w:rsid w:val="00AB223B"/>
    <w:rsid w:val="00B75939"/>
    <w:rsid w:val="00BA1D53"/>
    <w:rsid w:val="00BD7106"/>
    <w:rsid w:val="00C84F21"/>
    <w:rsid w:val="00CD4435"/>
    <w:rsid w:val="00CF6D5E"/>
    <w:rsid w:val="00D06751"/>
    <w:rsid w:val="00D10FC8"/>
    <w:rsid w:val="00D40829"/>
    <w:rsid w:val="00DB0753"/>
    <w:rsid w:val="00DB4C33"/>
    <w:rsid w:val="00DB56ED"/>
    <w:rsid w:val="00DC064C"/>
    <w:rsid w:val="00E2275B"/>
    <w:rsid w:val="00E30D97"/>
    <w:rsid w:val="00E74E8C"/>
    <w:rsid w:val="00E77CCA"/>
    <w:rsid w:val="00EB3C74"/>
    <w:rsid w:val="00ED4D96"/>
    <w:rsid w:val="00EE1F7C"/>
    <w:rsid w:val="00F15EFE"/>
    <w:rsid w:val="00F62128"/>
    <w:rsid w:val="00F7413F"/>
    <w:rsid w:val="00FB2CAA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21</cp:revision>
  <dcterms:created xsi:type="dcterms:W3CDTF">2022-09-06T00:35:00Z</dcterms:created>
  <dcterms:modified xsi:type="dcterms:W3CDTF">2023-09-25T08:31:00Z</dcterms:modified>
</cp:coreProperties>
</file>